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A0A" w:rsidRPr="009F71D8" w:rsidRDefault="006D7A0A" w:rsidP="00C05977">
      <w:pPr>
        <w:widowControl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E31FBC">
        <w:rPr>
          <w:rFonts w:ascii="Palatino Linotype" w:hAnsi="Palatino Linotype" w:cs="Arial"/>
          <w:b/>
          <w:sz w:val="24"/>
          <w:szCs w:val="24"/>
        </w:rPr>
        <w:t xml:space="preserve">TRIGÉSIMA SEGUNDA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SESIÓN ORDINARIA DE </w:t>
      </w:r>
      <w:r w:rsidR="00E31FBC">
        <w:rPr>
          <w:rFonts w:ascii="Palatino Linotype" w:hAnsi="Palatino Linotype" w:cs="Arial"/>
          <w:b/>
          <w:sz w:val="24"/>
          <w:szCs w:val="24"/>
        </w:rPr>
        <w:t>CINCO DE SEPTIEMBRE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 DE DOS MIL DIECI</w:t>
      </w:r>
      <w:r>
        <w:rPr>
          <w:rFonts w:ascii="Palatino Linotype" w:hAnsi="Palatino Linotype" w:cs="Arial"/>
          <w:b/>
          <w:sz w:val="24"/>
          <w:szCs w:val="24"/>
        </w:rPr>
        <w:t>OCHO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, EN EL RECURSO DE REVISIÓN </w:t>
      </w:r>
      <w:r w:rsidR="00E31FBC">
        <w:rPr>
          <w:rFonts w:ascii="Palatino Linotype" w:hAnsi="Palatino Linotype" w:cs="Arial"/>
          <w:b/>
          <w:bCs/>
          <w:sz w:val="24"/>
          <w:szCs w:val="24"/>
        </w:rPr>
        <w:t>02580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/INFOEM/IP/RR/201</w:t>
      </w:r>
      <w:r>
        <w:rPr>
          <w:rFonts w:ascii="Palatino Linotype" w:hAnsi="Palatino Linotype" w:cs="Arial"/>
          <w:b/>
          <w:bCs/>
          <w:sz w:val="24"/>
          <w:szCs w:val="24"/>
        </w:rPr>
        <w:t>8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.</w:t>
      </w:r>
    </w:p>
    <w:p w:rsidR="006D7A0A" w:rsidRPr="009F71D8" w:rsidRDefault="006D7A0A" w:rsidP="00C05977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>Con fundamento en lo dispuesto por el artículo 14</w:t>
      </w:r>
      <w:r w:rsidR="009900D0">
        <w:rPr>
          <w:rFonts w:ascii="Palatino Linotype" w:hAnsi="Palatino Linotype" w:cs="Arial"/>
          <w:sz w:val="24"/>
          <w:szCs w:val="24"/>
        </w:rPr>
        <w:t>,</w:t>
      </w:r>
      <w:r w:rsidRPr="009F71D8">
        <w:rPr>
          <w:rFonts w:ascii="Palatino Linotype" w:hAnsi="Palatino Linotype" w:cs="Arial"/>
          <w:sz w:val="24"/>
          <w:szCs w:val="24"/>
        </w:rPr>
        <w:t xml:space="preserve"> fracciones X y XI del Reglamento Interior del Instituto de Transparencia, Acceso a la Información Pública y Protección de Datos Personales del Estado de México y Municipios, la que suscribe</w:t>
      </w:r>
      <w:r w:rsidRPr="009F71D8">
        <w:rPr>
          <w:rFonts w:ascii="Palatino Linotype" w:hAnsi="Palatino Linotype" w:cs="Arial"/>
          <w:b/>
          <w:sz w:val="24"/>
          <w:szCs w:val="24"/>
          <w:lang w:val="es-ES_tradnl"/>
        </w:rPr>
        <w:t xml:space="preserve">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EVA ABAID YAPUR </w:t>
      </w:r>
      <w:r w:rsidRPr="009F71D8">
        <w:rPr>
          <w:rFonts w:ascii="Palatino Linotype" w:hAnsi="Palatino Linotype" w:cs="Arial"/>
          <w:sz w:val="24"/>
          <w:szCs w:val="24"/>
        </w:rPr>
        <w:t xml:space="preserve">emite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</w:t>
      </w:r>
      <w:r w:rsidRPr="009F71D8">
        <w:rPr>
          <w:rFonts w:ascii="Palatino Linotype" w:hAnsi="Palatino Linotype" w:cs="Arial"/>
          <w:sz w:val="24"/>
          <w:szCs w:val="24"/>
        </w:rPr>
        <w:t xml:space="preserve">respecto de la resolución dictada en el recurso de revisión </w:t>
      </w:r>
      <w:r w:rsidR="00E31FBC">
        <w:rPr>
          <w:rFonts w:ascii="Palatino Linotype" w:hAnsi="Palatino Linotype" w:cs="Arial"/>
          <w:b/>
          <w:bCs/>
          <w:sz w:val="24"/>
          <w:szCs w:val="24"/>
        </w:rPr>
        <w:t>02580</w:t>
      </w:r>
      <w:r>
        <w:rPr>
          <w:rFonts w:ascii="Palatino Linotype" w:hAnsi="Palatino Linotype" w:cs="Arial"/>
          <w:b/>
          <w:bCs/>
          <w:sz w:val="24"/>
          <w:szCs w:val="24"/>
        </w:rPr>
        <w:t>/INFOEM/IP/RR/2018</w:t>
      </w:r>
      <w:r w:rsidRPr="009F71D8">
        <w:rPr>
          <w:rFonts w:ascii="Palatino Linotype" w:hAnsi="Palatino Linotype" w:cs="Arial"/>
          <w:sz w:val="24"/>
          <w:szCs w:val="24"/>
        </w:rPr>
        <w:t>, pronunciada por el Pleno de este Instituto an</w:t>
      </w:r>
      <w:r w:rsidR="00E31FBC">
        <w:rPr>
          <w:rFonts w:ascii="Palatino Linotype" w:hAnsi="Palatino Linotype" w:cs="Arial"/>
          <w:sz w:val="24"/>
          <w:szCs w:val="24"/>
        </w:rPr>
        <w:t xml:space="preserve">te el proyecto presentado por </w:t>
      </w:r>
      <w:r>
        <w:rPr>
          <w:rFonts w:ascii="Palatino Linotype" w:hAnsi="Palatino Linotype" w:cs="Arial"/>
          <w:sz w:val="24"/>
          <w:szCs w:val="24"/>
        </w:rPr>
        <w:t>l</w:t>
      </w:r>
      <w:r w:rsidR="00E31FBC">
        <w:rPr>
          <w:rFonts w:ascii="Palatino Linotype" w:hAnsi="Palatino Linotype" w:cs="Arial"/>
          <w:sz w:val="24"/>
          <w:szCs w:val="24"/>
        </w:rPr>
        <w:t>a Comisionada</w:t>
      </w:r>
      <w:r w:rsidRPr="009F71D8">
        <w:rPr>
          <w:rFonts w:ascii="Palatino Linotype" w:hAnsi="Palatino Linotype" w:cs="Arial"/>
          <w:sz w:val="24"/>
          <w:szCs w:val="24"/>
        </w:rPr>
        <w:t xml:space="preserve"> </w:t>
      </w:r>
      <w:r w:rsidR="00E31FBC">
        <w:rPr>
          <w:rFonts w:ascii="Palatino Linotype" w:hAnsi="Palatino Linotype" w:cs="Arial"/>
          <w:sz w:val="24"/>
          <w:szCs w:val="24"/>
        </w:rPr>
        <w:t xml:space="preserve">Presidenta </w:t>
      </w:r>
      <w:r w:rsidR="00E31FBC">
        <w:rPr>
          <w:rFonts w:ascii="Palatino Linotype" w:hAnsi="Palatino Linotype" w:cs="Arial"/>
          <w:b/>
          <w:sz w:val="24"/>
          <w:szCs w:val="24"/>
        </w:rPr>
        <w:t>ZULEMA MARTÍNEZ SÁNCHEZ</w:t>
      </w:r>
      <w:r w:rsidRPr="009F71D8">
        <w:rPr>
          <w:rFonts w:ascii="Palatino Linotype" w:hAnsi="Palatino Linotype" w:cs="Arial"/>
          <w:sz w:val="24"/>
          <w:szCs w:val="24"/>
        </w:rPr>
        <w:t>, que es del tenor siguiente.</w:t>
      </w:r>
    </w:p>
    <w:p w:rsidR="006D7A0A" w:rsidRDefault="006D7A0A" w:rsidP="00C05977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/>
          <w:sz w:val="24"/>
          <w:szCs w:val="24"/>
        </w:rPr>
        <w:t xml:space="preserve">Es de destacar, que la suscrita comparte esencialmente el </w:t>
      </w:r>
      <w:r>
        <w:rPr>
          <w:rFonts w:ascii="Palatino Linotype" w:hAnsi="Palatino Linotype"/>
          <w:sz w:val="24"/>
          <w:szCs w:val="24"/>
        </w:rPr>
        <w:t xml:space="preserve">sentido de la resolución </w:t>
      </w:r>
      <w:r w:rsidRPr="009F71D8">
        <w:rPr>
          <w:rFonts w:ascii="Palatino Linotype" w:hAnsi="Palatino Linotype"/>
          <w:sz w:val="24"/>
          <w:szCs w:val="24"/>
        </w:rPr>
        <w:t>del rec</w:t>
      </w:r>
      <w:r>
        <w:rPr>
          <w:rFonts w:ascii="Palatino Linotype" w:hAnsi="Palatino Linotype"/>
          <w:sz w:val="24"/>
          <w:szCs w:val="24"/>
        </w:rPr>
        <w:t>urso de revisión; empero, estimo</w:t>
      </w:r>
      <w:r w:rsidRPr="009F71D8">
        <w:rPr>
          <w:rFonts w:ascii="Palatino Linotype" w:hAnsi="Palatino Linotype"/>
          <w:sz w:val="24"/>
          <w:szCs w:val="24"/>
        </w:rPr>
        <w:t xml:space="preserve"> necesario precisar algunas consid</w:t>
      </w:r>
      <w:r>
        <w:rPr>
          <w:rFonts w:ascii="Palatino Linotype" w:hAnsi="Palatino Linotype"/>
          <w:sz w:val="24"/>
          <w:szCs w:val="24"/>
        </w:rPr>
        <w:t>eraciones de hecho</w:t>
      </w:r>
      <w:r w:rsidR="00F245FC">
        <w:rPr>
          <w:rFonts w:ascii="Palatino Linotype" w:hAnsi="Palatino Linotype"/>
          <w:sz w:val="24"/>
          <w:szCs w:val="24"/>
        </w:rPr>
        <w:t xml:space="preserve"> y de derecho tocante al análisis</w:t>
      </w:r>
      <w:r>
        <w:rPr>
          <w:rFonts w:ascii="Palatino Linotype" w:hAnsi="Palatino Linotype"/>
          <w:sz w:val="24"/>
          <w:szCs w:val="24"/>
        </w:rPr>
        <w:t xml:space="preserve"> realizado.</w:t>
      </w:r>
    </w:p>
    <w:p w:rsidR="00C805BB" w:rsidRDefault="006D7A0A" w:rsidP="00C05977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/>
          <w:sz w:val="24"/>
          <w:szCs w:val="24"/>
        </w:rPr>
        <w:t>Al respecto, tal y como quedó debidamente asentado en la resoluc</w:t>
      </w:r>
      <w:r>
        <w:rPr>
          <w:rFonts w:ascii="Palatino Linotype" w:hAnsi="Palatino Linotype"/>
          <w:sz w:val="24"/>
          <w:szCs w:val="24"/>
        </w:rPr>
        <w:t>i</w:t>
      </w:r>
      <w:r w:rsidR="00E31FBC">
        <w:rPr>
          <w:rFonts w:ascii="Palatino Linotype" w:hAnsi="Palatino Linotype"/>
          <w:sz w:val="24"/>
          <w:szCs w:val="24"/>
        </w:rPr>
        <w:t>ón materia del presente voto, el</w:t>
      </w:r>
      <w:r w:rsidRPr="009F71D8">
        <w:rPr>
          <w:rFonts w:ascii="Palatino Linotype" w:hAnsi="Palatino Linotype"/>
          <w:sz w:val="24"/>
          <w:szCs w:val="24"/>
        </w:rPr>
        <w:t xml:space="preserve"> particular requirió de</w:t>
      </w:r>
      <w:r w:rsidR="00E31FBC">
        <w:rPr>
          <w:rFonts w:ascii="Palatino Linotype" w:hAnsi="Palatino Linotype"/>
          <w:sz w:val="24"/>
          <w:szCs w:val="24"/>
        </w:rPr>
        <w:t xml:space="preserve">l </w:t>
      </w:r>
      <w:r w:rsidR="00E31FBC" w:rsidRPr="00E31FBC">
        <w:rPr>
          <w:rFonts w:ascii="Palatino Linotype" w:hAnsi="Palatino Linotype"/>
          <w:b/>
          <w:sz w:val="24"/>
          <w:szCs w:val="24"/>
        </w:rPr>
        <w:t>Ayuntamiento de Tlalnepantla de Baz</w:t>
      </w:r>
      <w:r>
        <w:rPr>
          <w:rFonts w:ascii="Palatino Linotype" w:hAnsi="Palatino Linotype"/>
          <w:sz w:val="24"/>
          <w:szCs w:val="24"/>
        </w:rPr>
        <w:t>, en lo sucesivo</w:t>
      </w:r>
      <w:r w:rsidRPr="009F71D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>EL S</w:t>
      </w:r>
      <w:r w:rsidRPr="009F71D8">
        <w:rPr>
          <w:rFonts w:ascii="Palatino Linotype" w:hAnsi="Palatino Linotype"/>
          <w:b/>
          <w:sz w:val="24"/>
          <w:szCs w:val="24"/>
        </w:rPr>
        <w:t>UJETO OBLIGADO,</w:t>
      </w:r>
      <w:r w:rsidRPr="009F71D8">
        <w:rPr>
          <w:rFonts w:ascii="Palatino Linotype" w:hAnsi="Palatino Linotype"/>
          <w:sz w:val="24"/>
          <w:szCs w:val="24"/>
        </w:rPr>
        <w:t xml:space="preserve"> </w:t>
      </w:r>
      <w:r w:rsidR="00C805BB">
        <w:rPr>
          <w:rFonts w:ascii="Palatino Linotype" w:hAnsi="Palatino Linotype"/>
          <w:sz w:val="24"/>
          <w:szCs w:val="24"/>
        </w:rPr>
        <w:t xml:space="preserve">información derivada de </w:t>
      </w:r>
      <w:r w:rsidR="00E31FBC">
        <w:rPr>
          <w:rFonts w:ascii="Palatino Linotype" w:hAnsi="Palatino Linotype"/>
          <w:sz w:val="24"/>
          <w:szCs w:val="24"/>
        </w:rPr>
        <w:t>la</w:t>
      </w:r>
      <w:r w:rsidR="00C805BB">
        <w:rPr>
          <w:rFonts w:ascii="Palatino Linotype" w:hAnsi="Palatino Linotype"/>
          <w:sz w:val="24"/>
          <w:szCs w:val="24"/>
        </w:rPr>
        <w:t xml:space="preserve"> modificación del Plan </w:t>
      </w:r>
      <w:r w:rsidR="00C805BB">
        <w:rPr>
          <w:rFonts w:ascii="Palatino Linotype" w:hAnsi="Palatino Linotype"/>
          <w:sz w:val="24"/>
          <w:szCs w:val="24"/>
        </w:rPr>
        <w:lastRenderedPageBreak/>
        <w:t xml:space="preserve">Municipal de Desarrollo Urbano de fecha veintitrés de septiembre de dos mil dieciocho, peticionando concretamente lo siguiente: </w:t>
      </w:r>
    </w:p>
    <w:p w:rsidR="00C805BB" w:rsidRPr="00C805BB" w:rsidRDefault="00C805BB" w:rsidP="00C05977">
      <w:pPr>
        <w:tabs>
          <w:tab w:val="left" w:pos="7938"/>
        </w:tabs>
        <w:spacing w:after="0" w:line="240" w:lineRule="auto"/>
        <w:ind w:left="851" w:right="902"/>
        <w:jc w:val="both"/>
        <w:rPr>
          <w:rFonts w:ascii="Palatino Linotype" w:hAnsi="Palatino Linotype" w:cs="Arial"/>
          <w:i/>
        </w:rPr>
      </w:pPr>
      <w:r w:rsidRPr="00C805BB">
        <w:rPr>
          <w:rFonts w:ascii="Palatino Linotype" w:hAnsi="Palatino Linotype" w:cs="Arial"/>
          <w:i/>
        </w:rPr>
        <w:t>1.- Los estudios técnicos que originaron proponer POZOS DE ABSORCIÓN en diversos puntos del territorio municipal;</w:t>
      </w:r>
    </w:p>
    <w:p w:rsidR="00C805BB" w:rsidRPr="00C805BB" w:rsidRDefault="00C805BB" w:rsidP="00C05977">
      <w:pPr>
        <w:tabs>
          <w:tab w:val="left" w:pos="7938"/>
        </w:tabs>
        <w:spacing w:after="0" w:line="240" w:lineRule="auto"/>
        <w:ind w:left="851" w:right="902"/>
        <w:jc w:val="both"/>
        <w:rPr>
          <w:rFonts w:ascii="Palatino Linotype" w:hAnsi="Palatino Linotype" w:cs="Arial"/>
          <w:i/>
        </w:rPr>
      </w:pPr>
      <w:r w:rsidRPr="00C805BB">
        <w:rPr>
          <w:rFonts w:ascii="Palatino Linotype" w:hAnsi="Palatino Linotype" w:cs="Arial"/>
          <w:i/>
        </w:rPr>
        <w:t>2.- Los estudios de mecánica de suelo que se realizaron para la ubicación de dichos pozos;</w:t>
      </w:r>
    </w:p>
    <w:p w:rsidR="00C805BB" w:rsidRPr="00C805BB" w:rsidRDefault="00C805BB" w:rsidP="00C05977">
      <w:pPr>
        <w:tabs>
          <w:tab w:val="left" w:pos="7938"/>
        </w:tabs>
        <w:spacing w:after="0" w:line="240" w:lineRule="auto"/>
        <w:ind w:left="851" w:right="902"/>
        <w:jc w:val="both"/>
        <w:rPr>
          <w:rFonts w:ascii="Palatino Linotype" w:hAnsi="Palatino Linotype" w:cs="Arial"/>
          <w:i/>
        </w:rPr>
      </w:pPr>
      <w:r w:rsidRPr="00C805BB">
        <w:rPr>
          <w:rFonts w:ascii="Palatino Linotype" w:hAnsi="Palatino Linotype" w:cs="Arial"/>
          <w:i/>
        </w:rPr>
        <w:t>3.- La tecnología o las técnicas que se emplearan para la construcción de estos pozos de absorción;</w:t>
      </w:r>
    </w:p>
    <w:p w:rsidR="00C805BB" w:rsidRPr="00C805BB" w:rsidRDefault="00C805BB" w:rsidP="00C05977">
      <w:pPr>
        <w:tabs>
          <w:tab w:val="left" w:pos="7938"/>
        </w:tabs>
        <w:spacing w:after="0" w:line="240" w:lineRule="auto"/>
        <w:ind w:left="851" w:right="902"/>
        <w:jc w:val="both"/>
        <w:rPr>
          <w:rFonts w:ascii="Palatino Linotype" w:hAnsi="Palatino Linotype" w:cs="Arial"/>
          <w:i/>
        </w:rPr>
      </w:pPr>
      <w:r w:rsidRPr="00C805BB">
        <w:rPr>
          <w:rFonts w:ascii="Palatino Linotype" w:hAnsi="Palatino Linotype" w:cs="Arial"/>
          <w:i/>
        </w:rPr>
        <w:t>4.- El estado de avance actual que se lleva para la construcción de dichos pozos; y</w:t>
      </w:r>
    </w:p>
    <w:p w:rsidR="00E31FBC" w:rsidRDefault="00C805BB" w:rsidP="00C05977">
      <w:pPr>
        <w:spacing w:after="0" w:line="240" w:lineRule="auto"/>
        <w:ind w:left="851" w:right="902"/>
        <w:jc w:val="both"/>
        <w:rPr>
          <w:rFonts w:ascii="Palatino Linotype" w:hAnsi="Palatino Linotype"/>
          <w:sz w:val="24"/>
          <w:szCs w:val="24"/>
        </w:rPr>
      </w:pPr>
      <w:r w:rsidRPr="00C805BB">
        <w:rPr>
          <w:rFonts w:ascii="Palatino Linotype" w:hAnsi="Palatino Linotype" w:cs="Arial"/>
          <w:i/>
        </w:rPr>
        <w:t>5.- De no contar con la información solicitada, se me proporcione la alternativa que se desarrollara en sustitución de los pozos de absorción proyectado en el PMDU.</w:t>
      </w:r>
    </w:p>
    <w:p w:rsidR="006D7A0A" w:rsidRDefault="006D7A0A" w:rsidP="00C05977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Así, en lo conducente de su respuesta </w:t>
      </w:r>
      <w:r>
        <w:rPr>
          <w:rFonts w:ascii="Palatino Linotype" w:hAnsi="Palatino Linotype" w:cs="Arial"/>
          <w:b/>
          <w:sz w:val="24"/>
          <w:szCs w:val="24"/>
        </w:rPr>
        <w:t xml:space="preserve">EL SUJETO OBLIGADO </w:t>
      </w:r>
      <w:r>
        <w:rPr>
          <w:rFonts w:ascii="Palatino Linotype" w:hAnsi="Palatino Linotype" w:cs="Arial"/>
          <w:sz w:val="24"/>
          <w:szCs w:val="24"/>
        </w:rPr>
        <w:t xml:space="preserve">manifestó </w:t>
      </w:r>
      <w:r w:rsidR="008A12FA">
        <w:rPr>
          <w:rFonts w:ascii="Palatino Linotype" w:hAnsi="Palatino Linotype" w:cs="Arial"/>
          <w:sz w:val="24"/>
          <w:szCs w:val="24"/>
        </w:rPr>
        <w:t xml:space="preserve">su incompetencia para generar, poseer y administrar la información solicitada, toda vez que la misma puede obrar en los archivos de un Sujeto Obligado diverso. </w:t>
      </w:r>
    </w:p>
    <w:p w:rsidR="006D7A0A" w:rsidRDefault="006D7A0A" w:rsidP="00C05977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Inconforme con la respuesta otorgada a la solicitud de inf</w:t>
      </w:r>
      <w:r w:rsidR="008A12FA">
        <w:rPr>
          <w:rFonts w:ascii="Palatino Linotype" w:hAnsi="Palatino Linotype" w:cs="Arial"/>
          <w:sz w:val="24"/>
          <w:szCs w:val="24"/>
        </w:rPr>
        <w:t>ormación, el</w:t>
      </w:r>
      <w:r>
        <w:rPr>
          <w:rFonts w:ascii="Palatino Linotype" w:hAnsi="Palatino Linotype" w:cs="Arial"/>
          <w:sz w:val="24"/>
          <w:szCs w:val="24"/>
        </w:rPr>
        <w:t xml:space="preserve"> hoy </w:t>
      </w:r>
      <w:r>
        <w:rPr>
          <w:rFonts w:ascii="Palatino Linotype" w:hAnsi="Palatino Linotype" w:cs="Arial"/>
          <w:b/>
          <w:sz w:val="24"/>
          <w:szCs w:val="24"/>
        </w:rPr>
        <w:t xml:space="preserve">RECURRENTE </w:t>
      </w:r>
      <w:r>
        <w:rPr>
          <w:rFonts w:ascii="Palatino Linotype" w:hAnsi="Palatino Linotype" w:cs="Arial"/>
          <w:sz w:val="24"/>
          <w:szCs w:val="24"/>
        </w:rPr>
        <w:t>presentó ante este Instituto el recurso de revisión al rubro anotado.</w:t>
      </w:r>
    </w:p>
    <w:p w:rsidR="006D7A0A" w:rsidRDefault="006D7A0A" w:rsidP="00C05977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 xml:space="preserve">Bajo ese tenor, del análisis a las constancias que obran en el </w:t>
      </w:r>
      <w:r>
        <w:rPr>
          <w:rFonts w:ascii="Palatino Linotype" w:hAnsi="Palatino Linotype" w:cs="Arial"/>
          <w:sz w:val="24"/>
          <w:szCs w:val="24"/>
        </w:rPr>
        <w:t>SAIMEX</w:t>
      </w:r>
      <w:r w:rsidRPr="009F71D8">
        <w:rPr>
          <w:rFonts w:ascii="Palatino Linotype" w:hAnsi="Palatino Linotype" w:cs="Arial"/>
          <w:sz w:val="24"/>
          <w:szCs w:val="24"/>
        </w:rPr>
        <w:t>, la Ponencia Resolutora determinó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MODIFI</w:t>
      </w:r>
      <w:r w:rsidRPr="00242438">
        <w:rPr>
          <w:rFonts w:ascii="Palatino Linotype" w:hAnsi="Palatino Linotype" w:cs="Arial"/>
          <w:b/>
          <w:sz w:val="24"/>
          <w:szCs w:val="24"/>
        </w:rPr>
        <w:t>CAR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9F71D8">
        <w:rPr>
          <w:rFonts w:ascii="Palatino Linotype" w:hAnsi="Palatino Linotype" w:cs="Arial"/>
          <w:sz w:val="24"/>
          <w:szCs w:val="24"/>
        </w:rPr>
        <w:t xml:space="preserve">la respuesta del </w:t>
      </w:r>
      <w:r w:rsidRPr="009F71D8">
        <w:rPr>
          <w:rFonts w:ascii="Palatino Linotype" w:hAnsi="Palatino Linotype" w:cs="Arial"/>
          <w:b/>
          <w:sz w:val="24"/>
          <w:szCs w:val="24"/>
        </w:rPr>
        <w:t>SUJETO OBLIGADO</w:t>
      </w:r>
      <w:r w:rsidRPr="009F71D8">
        <w:rPr>
          <w:rFonts w:ascii="Palatino Linotype" w:hAnsi="Palatino Linotype" w:cs="Arial"/>
          <w:sz w:val="24"/>
          <w:szCs w:val="24"/>
        </w:rPr>
        <w:t xml:space="preserve"> ordená</w:t>
      </w:r>
      <w:r>
        <w:rPr>
          <w:rFonts w:ascii="Palatino Linotype" w:hAnsi="Palatino Linotype" w:cs="Arial"/>
          <w:sz w:val="24"/>
          <w:szCs w:val="24"/>
        </w:rPr>
        <w:t xml:space="preserve">ndole la entrega, vía SAIMEX de </w:t>
      </w:r>
      <w:r w:rsidR="008A12FA">
        <w:rPr>
          <w:rFonts w:ascii="Palatino Linotype" w:hAnsi="Palatino Linotype" w:cs="Arial"/>
          <w:sz w:val="24"/>
          <w:szCs w:val="24"/>
        </w:rPr>
        <w:t>lo</w:t>
      </w:r>
      <w:r>
        <w:rPr>
          <w:rFonts w:ascii="Palatino Linotype" w:hAnsi="Palatino Linotype" w:cs="Arial"/>
          <w:sz w:val="24"/>
          <w:szCs w:val="24"/>
        </w:rPr>
        <w:t xml:space="preserve"> siguiente:</w:t>
      </w:r>
    </w:p>
    <w:p w:rsidR="008A12FA" w:rsidRPr="009900D0" w:rsidRDefault="008A12FA" w:rsidP="00C0597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4"/>
        </w:rPr>
      </w:pPr>
      <w:r w:rsidRPr="009900D0">
        <w:rPr>
          <w:rFonts w:ascii="Palatino Linotype" w:eastAsia="Calibri" w:hAnsi="Palatino Linotype" w:cs="Arial"/>
          <w:i/>
          <w:sz w:val="24"/>
        </w:rPr>
        <w:t xml:space="preserve">El Acuerdo que emita el Comité de Transparencia mediante el que confirme la declaratoria de incompetencia del </w:t>
      </w:r>
      <w:r w:rsidRPr="009900D0">
        <w:rPr>
          <w:rFonts w:ascii="Palatino Linotype" w:eastAsia="Calibri" w:hAnsi="Palatino Linotype" w:cs="Arial"/>
          <w:b/>
          <w:i/>
          <w:sz w:val="24"/>
        </w:rPr>
        <w:t>sujeto obligado</w:t>
      </w:r>
      <w:r w:rsidRPr="009900D0">
        <w:rPr>
          <w:rFonts w:ascii="Palatino Linotype" w:eastAsia="Calibri" w:hAnsi="Palatino Linotype" w:cs="Arial"/>
          <w:i/>
          <w:sz w:val="24"/>
        </w:rPr>
        <w:t>, respecto de la información solicitada.</w:t>
      </w:r>
    </w:p>
    <w:p w:rsidR="005D0910" w:rsidRDefault="006D7A0A" w:rsidP="00C0597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520D36">
        <w:rPr>
          <w:rFonts w:ascii="Palatino Linotype" w:hAnsi="Palatino Linotype" w:cs="Arial"/>
          <w:sz w:val="24"/>
          <w:szCs w:val="24"/>
        </w:rPr>
        <w:t xml:space="preserve">En ese sentido, la que suscribe reitera, que si bien coincide en términos generales con el sentido de la resolución en comento, difiero respecto a </w:t>
      </w:r>
      <w:r w:rsidR="00BB2792">
        <w:rPr>
          <w:rFonts w:ascii="Palatino Linotype" w:hAnsi="Palatino Linotype" w:cs="Arial"/>
          <w:sz w:val="24"/>
          <w:szCs w:val="24"/>
        </w:rPr>
        <w:t>que</w:t>
      </w:r>
      <w:r w:rsidR="00DD2CC8">
        <w:rPr>
          <w:rFonts w:ascii="Palatino Linotype" w:hAnsi="Palatino Linotype" w:cs="Arial"/>
          <w:sz w:val="24"/>
          <w:szCs w:val="24"/>
        </w:rPr>
        <w:t xml:space="preserve">, la Ponencia </w:t>
      </w:r>
      <w:proofErr w:type="spellStart"/>
      <w:r w:rsidR="00DD2CC8">
        <w:rPr>
          <w:rFonts w:ascii="Palatino Linotype" w:hAnsi="Palatino Linotype" w:cs="Arial"/>
          <w:sz w:val="24"/>
          <w:szCs w:val="24"/>
        </w:rPr>
        <w:t>Resolutora</w:t>
      </w:r>
      <w:proofErr w:type="spellEnd"/>
      <w:r w:rsidR="00DD2CC8">
        <w:rPr>
          <w:rFonts w:ascii="Palatino Linotype" w:hAnsi="Palatino Linotype" w:cs="Arial"/>
          <w:sz w:val="24"/>
          <w:szCs w:val="24"/>
        </w:rPr>
        <w:t xml:space="preserve"> </w:t>
      </w:r>
      <w:r w:rsidR="00DD2CC8">
        <w:rPr>
          <w:rFonts w:ascii="Palatino Linotype" w:hAnsi="Palatino Linotype" w:cs="Arial"/>
          <w:sz w:val="24"/>
          <w:szCs w:val="24"/>
        </w:rPr>
        <w:lastRenderedPageBreak/>
        <w:t>no se pronuncie respecto a todas las áreas competentes que pudieran contar con la información solicitada por el particular</w:t>
      </w:r>
      <w:r w:rsidR="00AD2123">
        <w:rPr>
          <w:rFonts w:ascii="Palatino Linotype" w:hAnsi="Palatino Linotype" w:cs="Arial"/>
          <w:sz w:val="24"/>
          <w:szCs w:val="24"/>
        </w:rPr>
        <w:t>; por</w:t>
      </w:r>
      <w:r w:rsidR="00E7301B">
        <w:rPr>
          <w:rFonts w:ascii="Palatino Linotype" w:hAnsi="Palatino Linotype" w:cs="Arial"/>
          <w:sz w:val="24"/>
          <w:szCs w:val="24"/>
        </w:rPr>
        <w:t xml:space="preserve"> lo cual</w:t>
      </w:r>
      <w:r w:rsidR="009900D0">
        <w:rPr>
          <w:rFonts w:ascii="Palatino Linotype" w:hAnsi="Palatino Linotype" w:cs="Arial"/>
          <w:sz w:val="24"/>
          <w:szCs w:val="24"/>
        </w:rPr>
        <w:t>,</w:t>
      </w:r>
      <w:r w:rsidR="00E7301B">
        <w:rPr>
          <w:rFonts w:ascii="Palatino Linotype" w:hAnsi="Palatino Linotype" w:cs="Arial"/>
          <w:sz w:val="24"/>
          <w:szCs w:val="24"/>
        </w:rPr>
        <w:t xml:space="preserve"> es importante señalar que la dependencia a la que solicitó la información es al Ayuntamiento de Tlalnepantla de Baz; sin embargo, no se dio cumplimiento a lo establecido en el artículo 162 de la Ley de Transparencia y Acceso a la Información Pública del Estado de México y Municipios que dispone: </w:t>
      </w:r>
    </w:p>
    <w:p w:rsidR="005D0910" w:rsidRDefault="00E7301B" w:rsidP="00C05977">
      <w:pPr>
        <w:spacing w:after="0" w:line="240" w:lineRule="auto"/>
        <w:ind w:left="851" w:right="902"/>
        <w:jc w:val="both"/>
        <w:rPr>
          <w:rFonts w:ascii="Palatino Linotype" w:eastAsia="Times New Roman" w:hAnsi="Palatino Linotype" w:cs="Times New Roman"/>
          <w:i/>
          <w:iCs/>
          <w:color w:val="222222"/>
          <w:lang w:val="es-ES" w:eastAsia="es-MX"/>
        </w:rPr>
      </w:pPr>
      <w:r w:rsidRPr="005D0910">
        <w:rPr>
          <w:rFonts w:ascii="Palatino Linotype" w:eastAsia="Times New Roman" w:hAnsi="Palatino Linotype" w:cs="Times New Roman"/>
          <w:b/>
          <w:bCs/>
          <w:i/>
          <w:iCs/>
          <w:color w:val="222222"/>
          <w:lang w:val="es-ES" w:eastAsia="es-MX"/>
        </w:rPr>
        <w:t>“Artículo 162. </w:t>
      </w:r>
      <w:r w:rsidRPr="005D0910">
        <w:rPr>
          <w:rFonts w:ascii="Palatino Linotype" w:eastAsia="Times New Roman" w:hAnsi="Palatino Linotype" w:cs="Times New Roman"/>
          <w:i/>
          <w:iCs/>
          <w:color w:val="222222"/>
          <w:lang w:val="es-ES" w:eastAsia="es-MX"/>
        </w:rPr>
        <w:t>Las unidades de transparencia deberán garantizar que las solicitudes se turnen a todas las Áreas competentes que cuenten con la información o deban tenerla de acuerdo a sus facultades, competencias y funciones, con el objeto de que realicen una búsqueda exhaustiva y razonable de la información solicitada.”</w:t>
      </w:r>
    </w:p>
    <w:p w:rsidR="004C6AC3" w:rsidRDefault="004C6AC3" w:rsidP="00C0597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  <w:lang w:eastAsia="es-CO"/>
        </w:rPr>
      </w:pPr>
      <w:r w:rsidRPr="00520D36">
        <w:rPr>
          <w:rFonts w:ascii="Palatino Linotype" w:hAnsi="Palatino Linotype" w:cs="Arial"/>
          <w:sz w:val="24"/>
          <w:szCs w:val="24"/>
          <w:lang w:eastAsia="es-CO"/>
        </w:rPr>
        <w:t>Lo anterior</w:t>
      </w:r>
      <w:r w:rsidR="009900D0">
        <w:rPr>
          <w:rFonts w:ascii="Palatino Linotype" w:hAnsi="Palatino Linotype" w:cs="Arial"/>
          <w:sz w:val="24"/>
          <w:szCs w:val="24"/>
          <w:lang w:eastAsia="es-CO"/>
        </w:rPr>
        <w:t>,</w:t>
      </w:r>
      <w:r w:rsidRPr="00520D36">
        <w:rPr>
          <w:rFonts w:ascii="Palatino Linotype" w:hAnsi="Palatino Linotype" w:cs="Arial"/>
          <w:sz w:val="24"/>
          <w:szCs w:val="24"/>
          <w:lang w:eastAsia="es-CO"/>
        </w:rPr>
        <w:t xml:space="preserve"> debido a que</w:t>
      </w:r>
      <w:r w:rsidR="00DD2CC8">
        <w:rPr>
          <w:rFonts w:ascii="Palatino Linotype" w:hAnsi="Palatino Linotype" w:cs="Arial"/>
          <w:sz w:val="24"/>
          <w:szCs w:val="24"/>
          <w:lang w:eastAsia="es-CO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  <w:lang w:eastAsia="es-CO"/>
        </w:rPr>
        <w:t xml:space="preserve">EL SUJETO OBLIGADO </w:t>
      </w:r>
      <w:r>
        <w:rPr>
          <w:rFonts w:ascii="Palatino Linotype" w:hAnsi="Palatino Linotype" w:cs="Arial"/>
          <w:sz w:val="24"/>
          <w:szCs w:val="24"/>
          <w:lang w:eastAsia="es-CO"/>
        </w:rPr>
        <w:t xml:space="preserve">omitió realizar una búsqueda exhaustiva y razonable de la información solicitada en todas las </w:t>
      </w:r>
      <w:r w:rsidR="00DD2CC8">
        <w:rPr>
          <w:rFonts w:ascii="Palatino Linotype" w:hAnsi="Palatino Linotype" w:cs="Arial"/>
          <w:sz w:val="24"/>
          <w:szCs w:val="24"/>
          <w:lang w:eastAsia="es-CO"/>
        </w:rPr>
        <w:t>áreas competentes</w:t>
      </w:r>
      <w:r>
        <w:rPr>
          <w:rFonts w:ascii="Palatino Linotype" w:hAnsi="Palatino Linotype" w:cs="Arial"/>
          <w:sz w:val="24"/>
          <w:szCs w:val="24"/>
          <w:lang w:eastAsia="es-CO"/>
        </w:rPr>
        <w:t xml:space="preserve"> que lo integran; sin embargo, a criterio de la suscrita también debió precisarse en el estudio de la resolución que, a fin de generar certeza</w:t>
      </w:r>
      <w:r w:rsidR="00DD2CC8">
        <w:rPr>
          <w:rFonts w:ascii="Palatino Linotype" w:hAnsi="Palatino Linotype" w:cs="Arial"/>
          <w:sz w:val="24"/>
          <w:szCs w:val="24"/>
          <w:lang w:eastAsia="es-CO"/>
        </w:rPr>
        <w:t xml:space="preserve"> jurídica a</w:t>
      </w:r>
      <w:r>
        <w:rPr>
          <w:rFonts w:ascii="Palatino Linotype" w:hAnsi="Palatino Linotype" w:cs="Arial"/>
          <w:sz w:val="24"/>
          <w:szCs w:val="24"/>
          <w:lang w:eastAsia="es-CO"/>
        </w:rPr>
        <w:t xml:space="preserve">l hoy </w:t>
      </w:r>
      <w:r>
        <w:rPr>
          <w:rFonts w:ascii="Palatino Linotype" w:hAnsi="Palatino Linotype" w:cs="Arial"/>
          <w:b/>
          <w:sz w:val="24"/>
          <w:szCs w:val="24"/>
          <w:lang w:eastAsia="es-CO"/>
        </w:rPr>
        <w:t xml:space="preserve">RECURRENTE </w:t>
      </w:r>
      <w:r>
        <w:rPr>
          <w:rFonts w:ascii="Palatino Linotype" w:hAnsi="Palatino Linotype" w:cs="Arial"/>
          <w:sz w:val="24"/>
          <w:szCs w:val="24"/>
          <w:lang w:eastAsia="es-CO"/>
        </w:rPr>
        <w:t>respecto a que se agotaran todos los criterio</w:t>
      </w:r>
      <w:r w:rsidR="009900D0">
        <w:rPr>
          <w:rFonts w:ascii="Palatino Linotype" w:hAnsi="Palatino Linotype" w:cs="Arial"/>
          <w:sz w:val="24"/>
          <w:szCs w:val="24"/>
          <w:lang w:eastAsia="es-CO"/>
        </w:rPr>
        <w:t>s de búsqueda de la información</w:t>
      </w:r>
      <w:r w:rsidR="00F245FC">
        <w:rPr>
          <w:rFonts w:ascii="Palatino Linotype" w:hAnsi="Palatino Linotype" w:cs="Arial"/>
          <w:sz w:val="24"/>
          <w:szCs w:val="24"/>
          <w:lang w:eastAsia="es-CO"/>
        </w:rPr>
        <w:t xml:space="preserve"> </w:t>
      </w:r>
      <w:r>
        <w:rPr>
          <w:rFonts w:ascii="Palatino Linotype" w:hAnsi="Palatino Linotype" w:cs="Arial"/>
          <w:sz w:val="24"/>
          <w:szCs w:val="24"/>
          <w:lang w:eastAsia="es-CO"/>
        </w:rPr>
        <w:t xml:space="preserve">lo procedente era precisar que la información pudiera obrar en </w:t>
      </w:r>
      <w:r w:rsidR="00F25FD2">
        <w:rPr>
          <w:rFonts w:ascii="Palatino Linotype" w:hAnsi="Palatino Linotype" w:cs="Arial"/>
          <w:sz w:val="24"/>
          <w:szCs w:val="24"/>
          <w:lang w:eastAsia="es-CO"/>
        </w:rPr>
        <w:t>la Secretaría del Ayuntamiento</w:t>
      </w:r>
      <w:r w:rsidR="009900D0">
        <w:rPr>
          <w:rFonts w:ascii="Palatino Linotype" w:hAnsi="Palatino Linotype" w:cs="Arial"/>
          <w:sz w:val="24"/>
          <w:szCs w:val="24"/>
          <w:lang w:eastAsia="es-CO"/>
        </w:rPr>
        <w:t xml:space="preserve">, </w:t>
      </w:r>
      <w:r>
        <w:rPr>
          <w:rFonts w:ascii="Palatino Linotype" w:hAnsi="Palatino Linotype" w:cs="Arial"/>
          <w:sz w:val="24"/>
          <w:szCs w:val="24"/>
          <w:lang w:eastAsia="es-CO"/>
        </w:rPr>
        <w:t xml:space="preserve">de conformidad con lo establecido en la </w:t>
      </w:r>
      <w:r w:rsidR="00F25FD2" w:rsidRPr="00F25FD2">
        <w:rPr>
          <w:rFonts w:ascii="Palatino Linotype" w:hAnsi="Palatino Linotype" w:cs="Arial"/>
          <w:sz w:val="24"/>
          <w:szCs w:val="24"/>
          <w:lang w:eastAsia="es-CO"/>
        </w:rPr>
        <w:t>Ley Orgánica Municipal del Estado de México</w:t>
      </w:r>
      <w:r>
        <w:rPr>
          <w:rFonts w:ascii="Palatino Linotype" w:hAnsi="Palatino Linotype" w:cs="Arial"/>
          <w:sz w:val="24"/>
          <w:szCs w:val="24"/>
          <w:lang w:eastAsia="es-CO"/>
        </w:rPr>
        <w:t xml:space="preserve"> y </w:t>
      </w:r>
      <w:r w:rsidR="00F25FD2" w:rsidRPr="00F25FD2">
        <w:rPr>
          <w:rFonts w:ascii="Palatino Linotype" w:hAnsi="Palatino Linotype" w:cs="Arial"/>
          <w:sz w:val="24"/>
          <w:szCs w:val="24"/>
          <w:lang w:eastAsia="es-CO"/>
        </w:rPr>
        <w:t>Código Reglamentario del Ayuntamiento de Tlalnepantla de Baz</w:t>
      </w:r>
      <w:r>
        <w:rPr>
          <w:rFonts w:ascii="Palatino Linotype" w:hAnsi="Palatino Linotype" w:cs="Arial"/>
          <w:sz w:val="24"/>
          <w:szCs w:val="24"/>
          <w:lang w:eastAsia="es-CO"/>
        </w:rPr>
        <w:t xml:space="preserve">, numerales que se insertan a continuación: </w:t>
      </w:r>
    </w:p>
    <w:p w:rsidR="00DD2CC8" w:rsidRPr="00AD2123" w:rsidRDefault="00F25FD2" w:rsidP="00C05977">
      <w:pPr>
        <w:spacing w:after="0" w:line="240" w:lineRule="auto"/>
        <w:ind w:left="851" w:right="902"/>
        <w:jc w:val="both"/>
        <w:rPr>
          <w:rFonts w:ascii="Palatino Linotype" w:eastAsia="Times New Roman" w:hAnsi="Palatino Linotype" w:cs="Times New Roman"/>
          <w:i/>
          <w:color w:val="222222"/>
          <w:szCs w:val="24"/>
          <w:lang w:eastAsia="es-MX"/>
        </w:rPr>
      </w:pPr>
      <w:r>
        <w:rPr>
          <w:rFonts w:ascii="Palatino Linotype" w:eastAsia="Times New Roman" w:hAnsi="Palatino Linotype" w:cs="Times New Roman"/>
          <w:i/>
          <w:color w:val="222222"/>
          <w:szCs w:val="24"/>
          <w:lang w:eastAsia="es-MX"/>
        </w:rPr>
        <w:t>“</w:t>
      </w:r>
      <w:r w:rsidR="00DD2CC8" w:rsidRPr="00AD2123">
        <w:rPr>
          <w:rFonts w:ascii="Palatino Linotype" w:eastAsia="Times New Roman" w:hAnsi="Palatino Linotype" w:cs="Times New Roman"/>
          <w:b/>
          <w:i/>
          <w:color w:val="222222"/>
          <w:szCs w:val="24"/>
          <w:lang w:eastAsia="es-MX"/>
        </w:rPr>
        <w:t>Artículo 30</w:t>
      </w:r>
      <w:r w:rsidR="00DD2CC8" w:rsidRPr="00AD2123">
        <w:rPr>
          <w:rFonts w:ascii="Palatino Linotype" w:eastAsia="Times New Roman" w:hAnsi="Palatino Linotype" w:cs="Times New Roman"/>
          <w:i/>
          <w:color w:val="222222"/>
          <w:szCs w:val="24"/>
          <w:lang w:eastAsia="es-MX"/>
        </w:rPr>
        <w:t xml:space="preserve">. Las sesiones del ayuntamiento serán presididas por el presidente municipal o por quien lo sustituya legalmente; constarán en un libro que deberá contener las actas en las cuales deberán asentarse los extractos de los acuerdos y asuntos tratados y el resultado de la votación. </w:t>
      </w:r>
      <w:r w:rsidR="00DD2CC8" w:rsidRPr="00AD2123">
        <w:rPr>
          <w:rFonts w:ascii="Palatino Linotype" w:eastAsia="Times New Roman" w:hAnsi="Palatino Linotype" w:cs="Times New Roman"/>
          <w:b/>
          <w:i/>
          <w:color w:val="222222"/>
          <w:szCs w:val="24"/>
          <w:lang w:eastAsia="es-MX"/>
        </w:rPr>
        <w:t xml:space="preserve">Cuando se refieran a reglamentos y otras normas de carácter general que sean de observancia municipal estos constarán íntegramente en el libro de actas debiendo firmar en ambos casos </w:t>
      </w:r>
      <w:r w:rsidR="00DD2CC8" w:rsidRPr="00AD2123">
        <w:rPr>
          <w:rFonts w:ascii="Palatino Linotype" w:eastAsia="Times New Roman" w:hAnsi="Palatino Linotype" w:cs="Times New Roman"/>
          <w:b/>
          <w:i/>
          <w:color w:val="222222"/>
          <w:szCs w:val="24"/>
          <w:lang w:eastAsia="es-MX"/>
        </w:rPr>
        <w:lastRenderedPageBreak/>
        <w:t>los miembros del Ayuntamiento que hayan estado presentes, debiéndose difundir en el Gaceta Municipal y en los estrados de la Secretaría del Ayuntamiento</w:t>
      </w:r>
      <w:r w:rsidR="00DD2CC8" w:rsidRPr="00AD2123">
        <w:rPr>
          <w:rFonts w:ascii="Palatino Linotype" w:eastAsia="Times New Roman" w:hAnsi="Palatino Linotype" w:cs="Times New Roman"/>
          <w:i/>
          <w:color w:val="222222"/>
          <w:szCs w:val="24"/>
          <w:lang w:eastAsia="es-MX"/>
        </w:rPr>
        <w:t>. De las actas, se les entregará copia certificada en formato físico o electrónico a los integrantes del Ayuntamiento que lo soliciten en un plazo no mayor de ocho días hábiles. Los documentos electrónicos en el que consten las firmas electrónicas avanzadas o el sello electrónico de los integrantes del Ayuntamiento tendrá el carácter de copia certificada.</w:t>
      </w:r>
    </w:p>
    <w:p w:rsidR="00DD2CC8" w:rsidRPr="00AD2123" w:rsidRDefault="00DD2CC8" w:rsidP="00C05977">
      <w:pPr>
        <w:spacing w:after="0" w:line="240" w:lineRule="auto"/>
        <w:ind w:left="851" w:right="902"/>
        <w:jc w:val="both"/>
        <w:rPr>
          <w:rFonts w:ascii="Palatino Linotype" w:eastAsia="Times New Roman" w:hAnsi="Palatino Linotype" w:cs="Times New Roman"/>
          <w:i/>
          <w:color w:val="222222"/>
          <w:szCs w:val="24"/>
          <w:lang w:eastAsia="es-MX"/>
        </w:rPr>
      </w:pPr>
      <w:r w:rsidRPr="00AD2123">
        <w:rPr>
          <w:rFonts w:ascii="Palatino Linotype" w:eastAsia="Times New Roman" w:hAnsi="Palatino Linotype" w:cs="Times New Roman"/>
          <w:b/>
          <w:i/>
          <w:color w:val="222222"/>
          <w:szCs w:val="24"/>
          <w:lang w:eastAsia="es-MX"/>
        </w:rPr>
        <w:t>Todos los acuerdos de las sesiones que no contengan información clasificada y el resultado de su votación, serán difundidos cada mes en la Gaceta Municipal y en los estrados de la Secretaría del Ayuntamiento</w:t>
      </w:r>
      <w:r w:rsidRPr="00AD2123">
        <w:rPr>
          <w:rFonts w:ascii="Palatino Linotype" w:eastAsia="Times New Roman" w:hAnsi="Palatino Linotype" w:cs="Times New Roman"/>
          <w:i/>
          <w:color w:val="222222"/>
          <w:szCs w:val="24"/>
          <w:lang w:eastAsia="es-MX"/>
        </w:rPr>
        <w:t>, así como los datos de identificación de las actas que contengan información clasificada, incluyendo en cada caso, el fundamento legal que clasifica la información.</w:t>
      </w:r>
    </w:p>
    <w:p w:rsidR="00DD2CC8" w:rsidRPr="00AD2123" w:rsidRDefault="00DD2CC8" w:rsidP="00C05977">
      <w:pPr>
        <w:spacing w:after="0" w:line="240" w:lineRule="auto"/>
        <w:ind w:left="851" w:right="902"/>
        <w:jc w:val="both"/>
        <w:rPr>
          <w:rFonts w:ascii="Palatino Linotype" w:eastAsia="Times New Roman" w:hAnsi="Palatino Linotype" w:cs="Times New Roman"/>
          <w:bCs/>
          <w:i/>
          <w:iCs/>
          <w:color w:val="222222"/>
          <w:lang w:val="es-ES" w:eastAsia="es-MX"/>
        </w:rPr>
      </w:pPr>
      <w:r w:rsidRPr="00AD2123">
        <w:rPr>
          <w:rFonts w:ascii="Palatino Linotype" w:eastAsia="Times New Roman" w:hAnsi="Palatino Linotype" w:cs="Times New Roman"/>
          <w:i/>
          <w:color w:val="222222"/>
          <w:szCs w:val="24"/>
          <w:lang w:eastAsia="es-MX"/>
        </w:rPr>
        <w:t xml:space="preserve">Para cada sesión se deberá contar con una versión estenográfica o </w:t>
      </w:r>
      <w:proofErr w:type="spellStart"/>
      <w:r w:rsidRPr="00AD2123">
        <w:rPr>
          <w:rFonts w:ascii="Palatino Linotype" w:eastAsia="Times New Roman" w:hAnsi="Palatino Linotype" w:cs="Times New Roman"/>
          <w:i/>
          <w:color w:val="222222"/>
          <w:szCs w:val="24"/>
          <w:lang w:eastAsia="es-MX"/>
        </w:rPr>
        <w:t>videograbada</w:t>
      </w:r>
      <w:proofErr w:type="spellEnd"/>
      <w:r w:rsidRPr="00AD2123">
        <w:rPr>
          <w:rFonts w:ascii="Palatino Linotype" w:eastAsia="Times New Roman" w:hAnsi="Palatino Linotype" w:cs="Times New Roman"/>
          <w:i/>
          <w:color w:val="222222"/>
          <w:szCs w:val="24"/>
          <w:lang w:eastAsia="es-MX"/>
        </w:rPr>
        <w:t xml:space="preserve"> que permita hacer las aclaraciones pertinentes, la cual formará parte del acta correspondiente. La versión estenográfica o </w:t>
      </w:r>
      <w:proofErr w:type="spellStart"/>
      <w:r w:rsidRPr="00AD2123">
        <w:rPr>
          <w:rFonts w:ascii="Palatino Linotype" w:eastAsia="Times New Roman" w:hAnsi="Palatino Linotype" w:cs="Times New Roman"/>
          <w:i/>
          <w:color w:val="222222"/>
          <w:szCs w:val="24"/>
          <w:lang w:eastAsia="es-MX"/>
        </w:rPr>
        <w:t>videograbada</w:t>
      </w:r>
      <w:proofErr w:type="spellEnd"/>
      <w:r w:rsidRPr="00AD2123">
        <w:rPr>
          <w:rFonts w:ascii="Palatino Linotype" w:eastAsia="Times New Roman" w:hAnsi="Palatino Linotype" w:cs="Times New Roman"/>
          <w:i/>
          <w:color w:val="222222"/>
          <w:szCs w:val="24"/>
          <w:lang w:eastAsia="es-MX"/>
        </w:rPr>
        <w:t xml:space="preserve"> deberá estar disponible en la página de internet del Ayuntamiento y en las oficinas de la Secretaría del Ayuntamiento.</w:t>
      </w:r>
    </w:p>
    <w:p w:rsidR="00DD2CC8" w:rsidRDefault="00DD2CC8" w:rsidP="00C05977">
      <w:pPr>
        <w:spacing w:after="0" w:line="240" w:lineRule="auto"/>
        <w:ind w:left="851" w:right="902"/>
        <w:jc w:val="both"/>
        <w:rPr>
          <w:rFonts w:ascii="Palatino Linotype" w:eastAsia="Times New Roman" w:hAnsi="Palatino Linotype" w:cs="Times New Roman"/>
          <w:bCs/>
          <w:i/>
          <w:iCs/>
          <w:color w:val="222222"/>
          <w:lang w:val="es-ES" w:eastAsia="es-MX"/>
        </w:rPr>
      </w:pPr>
      <w:r w:rsidRPr="00AD2123">
        <w:rPr>
          <w:rFonts w:ascii="Palatino Linotype" w:hAnsi="Palatino Linotype"/>
          <w:b/>
          <w:i/>
        </w:rPr>
        <w:t>Artículo 1.6</w:t>
      </w:r>
      <w:r w:rsidRPr="00AD2123">
        <w:rPr>
          <w:rFonts w:ascii="Palatino Linotype" w:hAnsi="Palatino Linotype"/>
          <w:i/>
        </w:rPr>
        <w:t xml:space="preserve">. A las sesiones ordinarias, </w:t>
      </w:r>
      <w:r w:rsidRPr="00AD2123">
        <w:rPr>
          <w:rFonts w:ascii="Palatino Linotype" w:hAnsi="Palatino Linotype"/>
          <w:b/>
          <w:i/>
        </w:rPr>
        <w:t>se deberá convocar a los miembros del Ayuntamiento por escrito, por lo menos con cuarenta y ocho horas de anticipación</w:t>
      </w:r>
      <w:r w:rsidRPr="00AD2123">
        <w:rPr>
          <w:rFonts w:ascii="Palatino Linotype" w:hAnsi="Palatino Linotype"/>
          <w:i/>
        </w:rPr>
        <w:t xml:space="preserve">, </w:t>
      </w:r>
      <w:r w:rsidRPr="00AD2123">
        <w:rPr>
          <w:rFonts w:ascii="Palatino Linotype" w:hAnsi="Palatino Linotype"/>
          <w:b/>
          <w:i/>
        </w:rPr>
        <w:t>con el orden del día correspondientes y, los documentos y anexos necesarios para la celebración de las sesiones</w:t>
      </w:r>
      <w:r w:rsidRPr="00AD2123">
        <w:rPr>
          <w:rFonts w:ascii="Palatino Linotype" w:hAnsi="Palatino Linotype"/>
          <w:i/>
        </w:rPr>
        <w:t>, preferentemente en formato digital, en el caso de tratarse de asuntos relevantes o complejos podrá ampliarse el plazo hasta por 72 horas.</w:t>
      </w:r>
      <w:r w:rsidR="00F25FD2">
        <w:rPr>
          <w:rFonts w:ascii="Palatino Linotype" w:hAnsi="Palatino Linotype"/>
          <w:i/>
        </w:rPr>
        <w:t>”</w:t>
      </w:r>
    </w:p>
    <w:p w:rsidR="00A94801" w:rsidRDefault="00F245FC" w:rsidP="00C05977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De la </w:t>
      </w:r>
      <w:r w:rsidR="000912B3">
        <w:rPr>
          <w:rFonts w:ascii="Palatino Linotype" w:hAnsi="Palatino Linotype"/>
          <w:sz w:val="24"/>
          <w:szCs w:val="24"/>
        </w:rPr>
        <w:t xml:space="preserve">interpretación sistemática a los preceptos legales que anteceden conduce a afirmar que </w:t>
      </w:r>
      <w:r w:rsidR="00A94801">
        <w:rPr>
          <w:rFonts w:ascii="Palatino Linotype" w:hAnsi="Palatino Linotype"/>
          <w:sz w:val="24"/>
          <w:szCs w:val="24"/>
        </w:rPr>
        <w:t xml:space="preserve">las sesiones del </w:t>
      </w:r>
      <w:r w:rsidR="009900D0">
        <w:rPr>
          <w:rFonts w:ascii="Palatino Linotype" w:hAnsi="Palatino Linotype"/>
          <w:sz w:val="24"/>
          <w:szCs w:val="24"/>
        </w:rPr>
        <w:t xml:space="preserve">Ayuntamiento </w:t>
      </w:r>
      <w:r w:rsidR="00C05977">
        <w:rPr>
          <w:rFonts w:ascii="Palatino Linotype" w:hAnsi="Palatino Linotype"/>
          <w:sz w:val="24"/>
          <w:szCs w:val="24"/>
        </w:rPr>
        <w:t>deberán llevarse a cabo previo a convocar a los miembros por escrito y con los documentos y anexos necesarios para la celebración de las sesiones y en caso de tratarse de asuntos relevantes o complejos será en formato digital; por lo que</w:t>
      </w:r>
      <w:r w:rsidR="009900D0">
        <w:rPr>
          <w:rFonts w:ascii="Palatino Linotype" w:hAnsi="Palatino Linotype"/>
          <w:sz w:val="24"/>
          <w:szCs w:val="24"/>
        </w:rPr>
        <w:t>,</w:t>
      </w:r>
      <w:r w:rsidR="00C05977">
        <w:rPr>
          <w:rFonts w:ascii="Palatino Linotype" w:hAnsi="Palatino Linotype"/>
          <w:sz w:val="24"/>
          <w:szCs w:val="24"/>
        </w:rPr>
        <w:t xml:space="preserve"> es la Secretaría del Ayuntamiento quien pudiera contar con lo solicitado por el particular. </w:t>
      </w:r>
    </w:p>
    <w:p w:rsidR="00A94801" w:rsidRDefault="000912B3" w:rsidP="00C05977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De lo anterior, se concluye que si bien </w:t>
      </w:r>
      <w:r>
        <w:rPr>
          <w:rFonts w:ascii="Palatino Linotype" w:hAnsi="Palatino Linotype"/>
          <w:b/>
          <w:sz w:val="24"/>
          <w:szCs w:val="24"/>
        </w:rPr>
        <w:t xml:space="preserve">EL SUJETO OBLIGADO </w:t>
      </w:r>
      <w:r>
        <w:rPr>
          <w:rFonts w:ascii="Palatino Linotype" w:hAnsi="Palatino Linotype"/>
          <w:sz w:val="24"/>
          <w:szCs w:val="24"/>
        </w:rPr>
        <w:t xml:space="preserve">señala que realizó la búsqueda exhaustiva y razonable, también lo es que, </w:t>
      </w:r>
      <w:r w:rsidR="009900D0">
        <w:rPr>
          <w:rFonts w:ascii="Palatino Linotype" w:hAnsi="Palatino Linotype"/>
          <w:sz w:val="24"/>
          <w:szCs w:val="24"/>
        </w:rPr>
        <w:t xml:space="preserve">se debió ordenar una </w:t>
      </w:r>
      <w:r>
        <w:rPr>
          <w:rFonts w:ascii="Palatino Linotype" w:hAnsi="Palatino Linotype"/>
          <w:sz w:val="24"/>
          <w:szCs w:val="24"/>
        </w:rPr>
        <w:t xml:space="preserve">búsqueda </w:t>
      </w:r>
      <w:r w:rsidR="009900D0">
        <w:rPr>
          <w:rFonts w:ascii="Palatino Linotype" w:hAnsi="Palatino Linotype"/>
          <w:sz w:val="24"/>
          <w:szCs w:val="24"/>
        </w:rPr>
        <w:lastRenderedPageBreak/>
        <w:t>exhaustiva y razonable en</w:t>
      </w:r>
      <w:r w:rsidR="00446AAF">
        <w:rPr>
          <w:rFonts w:ascii="Palatino Linotype" w:hAnsi="Palatino Linotype"/>
          <w:sz w:val="24"/>
          <w:szCs w:val="24"/>
        </w:rPr>
        <w:t xml:space="preserve"> las </w:t>
      </w:r>
      <w:r w:rsidR="00F25FD2">
        <w:rPr>
          <w:rFonts w:ascii="Palatino Linotype" w:hAnsi="Palatino Linotype"/>
          <w:sz w:val="24"/>
          <w:szCs w:val="24"/>
        </w:rPr>
        <w:t>áreas</w:t>
      </w:r>
      <w:r w:rsidR="00446AAF">
        <w:rPr>
          <w:rFonts w:ascii="Palatino Linotype" w:hAnsi="Palatino Linotype"/>
          <w:sz w:val="24"/>
          <w:szCs w:val="24"/>
        </w:rPr>
        <w:t xml:space="preserve"> que lo integran;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9900D0">
        <w:rPr>
          <w:rFonts w:ascii="Palatino Linotype" w:hAnsi="Palatino Linotype"/>
          <w:sz w:val="24"/>
          <w:szCs w:val="24"/>
        </w:rPr>
        <w:t xml:space="preserve">y pudiesen poseer la información </w:t>
      </w:r>
      <w:r w:rsidR="00446AAF">
        <w:rPr>
          <w:rFonts w:ascii="Palatino Linotype" w:hAnsi="Palatino Linotype"/>
          <w:sz w:val="24"/>
          <w:szCs w:val="24"/>
        </w:rPr>
        <w:t>pues no se debe perder de vi</w:t>
      </w:r>
      <w:r w:rsidR="00F25FD2">
        <w:rPr>
          <w:rFonts w:ascii="Palatino Linotype" w:hAnsi="Palatino Linotype"/>
          <w:sz w:val="24"/>
          <w:szCs w:val="24"/>
        </w:rPr>
        <w:t>sta</w:t>
      </w:r>
      <w:r w:rsidR="00A94801">
        <w:rPr>
          <w:rFonts w:ascii="Palatino Linotype" w:hAnsi="Palatino Linotype"/>
          <w:sz w:val="24"/>
          <w:szCs w:val="24"/>
        </w:rPr>
        <w:t xml:space="preserve"> que una de las funciones del</w:t>
      </w:r>
      <w:r w:rsidR="00F25FD2">
        <w:rPr>
          <w:rFonts w:ascii="Palatino Linotype" w:hAnsi="Palatino Linotype"/>
          <w:sz w:val="24"/>
          <w:szCs w:val="24"/>
        </w:rPr>
        <w:t xml:space="preserve"> </w:t>
      </w:r>
      <w:r w:rsidR="00A94801">
        <w:rPr>
          <w:rFonts w:ascii="Palatino Linotype" w:hAnsi="Palatino Linotype"/>
          <w:sz w:val="24"/>
          <w:szCs w:val="24"/>
        </w:rPr>
        <w:t>ayuntamiento</w:t>
      </w:r>
      <w:r w:rsidR="009900D0">
        <w:rPr>
          <w:rFonts w:ascii="Palatino Linotype" w:hAnsi="Palatino Linotype"/>
          <w:sz w:val="24"/>
          <w:szCs w:val="24"/>
        </w:rPr>
        <w:t xml:space="preserve"> a través de la Secretaría, </w:t>
      </w:r>
      <w:r w:rsidR="00446AAF">
        <w:rPr>
          <w:rFonts w:ascii="Palatino Linotype" w:hAnsi="Palatino Linotype"/>
          <w:sz w:val="24"/>
          <w:szCs w:val="24"/>
        </w:rPr>
        <w:t xml:space="preserve">es </w:t>
      </w:r>
      <w:r w:rsidR="00F25FD2">
        <w:rPr>
          <w:rFonts w:ascii="Palatino Linotype" w:hAnsi="Palatino Linotype"/>
          <w:sz w:val="24"/>
          <w:szCs w:val="24"/>
        </w:rPr>
        <w:t xml:space="preserve">llevar acabo las </w:t>
      </w:r>
      <w:r w:rsidR="00A94801">
        <w:rPr>
          <w:rFonts w:ascii="Palatino Linotype" w:hAnsi="Palatino Linotype"/>
          <w:sz w:val="24"/>
          <w:szCs w:val="24"/>
        </w:rPr>
        <w:t>sesiones</w:t>
      </w:r>
      <w:r w:rsidR="00F25FD2">
        <w:rPr>
          <w:rFonts w:ascii="Palatino Linotype" w:hAnsi="Palatino Linotype"/>
          <w:sz w:val="24"/>
          <w:szCs w:val="24"/>
        </w:rPr>
        <w:t xml:space="preserve"> ordinarias y </w:t>
      </w:r>
      <w:r w:rsidR="00A94801">
        <w:rPr>
          <w:rFonts w:ascii="Palatino Linotype" w:hAnsi="Palatino Linotype"/>
          <w:sz w:val="24"/>
          <w:szCs w:val="24"/>
        </w:rPr>
        <w:t>se deberá convocar a los miembros por escrito con cuarenta y ocho horas de anticipación con los documentos y anexos necesarios para</w:t>
      </w:r>
      <w:r w:rsidR="009900D0">
        <w:rPr>
          <w:rFonts w:ascii="Palatino Linotype" w:hAnsi="Palatino Linotype"/>
          <w:sz w:val="24"/>
          <w:szCs w:val="24"/>
        </w:rPr>
        <w:t xml:space="preserve"> la celebración de las mismas.</w:t>
      </w:r>
    </w:p>
    <w:p w:rsidR="006D7A0A" w:rsidRDefault="006D7A0A" w:rsidP="00C05977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490A13">
        <w:rPr>
          <w:rFonts w:ascii="Palatino Linotype" w:hAnsi="Palatino Linotype" w:cs="Arial"/>
          <w:sz w:val="24"/>
          <w:szCs w:val="24"/>
        </w:rPr>
        <w:t xml:space="preserve">Es por lo anteriormente expuesto que, la que suscrita emite </w:t>
      </w:r>
      <w:r w:rsidRPr="00490A13">
        <w:rPr>
          <w:rFonts w:ascii="Palatino Linotype" w:hAnsi="Palatino Linotype" w:cs="Arial"/>
          <w:b/>
          <w:sz w:val="24"/>
          <w:szCs w:val="24"/>
        </w:rPr>
        <w:t>VOTO PARTICULAR</w:t>
      </w:r>
      <w:r w:rsidRPr="00490A13">
        <w:rPr>
          <w:rFonts w:ascii="Palatino Linotype" w:hAnsi="Palatino Linotype" w:cs="Arial"/>
          <w:sz w:val="24"/>
          <w:szCs w:val="24"/>
        </w:rPr>
        <w:t xml:space="preserve">, pues se insiste </w:t>
      </w:r>
      <w:r w:rsidR="00446AAF">
        <w:rPr>
          <w:rFonts w:ascii="Palatino Linotype" w:hAnsi="Palatino Linotype" w:cs="Arial"/>
          <w:sz w:val="24"/>
          <w:szCs w:val="24"/>
        </w:rPr>
        <w:t xml:space="preserve">en </w:t>
      </w:r>
      <w:r w:rsidRPr="00490A13">
        <w:rPr>
          <w:rFonts w:ascii="Palatino Linotype" w:hAnsi="Palatino Linotype" w:cs="Arial"/>
          <w:sz w:val="24"/>
          <w:szCs w:val="24"/>
        </w:rPr>
        <w:t xml:space="preserve">que </w:t>
      </w:r>
      <w:r w:rsidR="00446AAF">
        <w:rPr>
          <w:rFonts w:ascii="Palatino Linotype" w:hAnsi="Palatino Linotype" w:cs="Arial"/>
          <w:sz w:val="24"/>
          <w:szCs w:val="24"/>
        </w:rPr>
        <w:t>la Pone</w:t>
      </w:r>
      <w:r w:rsidR="00F245FC">
        <w:rPr>
          <w:rFonts w:ascii="Palatino Linotype" w:hAnsi="Palatino Linotype" w:cs="Arial"/>
          <w:sz w:val="24"/>
          <w:szCs w:val="24"/>
        </w:rPr>
        <w:t>ncia Resolutora debió adicionar</w:t>
      </w:r>
      <w:r w:rsidR="00446AAF">
        <w:rPr>
          <w:rFonts w:ascii="Palatino Linotype" w:hAnsi="Palatino Linotype" w:cs="Arial"/>
          <w:sz w:val="24"/>
          <w:szCs w:val="24"/>
        </w:rPr>
        <w:t xml:space="preserve"> en el estudio de la resolución la búsqueda exhaustiva y razonable que debería realizar en términos del artículo 16</w:t>
      </w:r>
      <w:r w:rsidR="00C05977">
        <w:rPr>
          <w:rFonts w:ascii="Palatino Linotype" w:hAnsi="Palatino Linotype" w:cs="Arial"/>
          <w:sz w:val="24"/>
          <w:szCs w:val="24"/>
        </w:rPr>
        <w:t>2 de la Ley de la materia</w:t>
      </w:r>
      <w:r w:rsidR="009900D0">
        <w:rPr>
          <w:rFonts w:ascii="Palatino Linotype" w:hAnsi="Palatino Linotype" w:cs="Arial"/>
          <w:sz w:val="24"/>
          <w:szCs w:val="24"/>
        </w:rPr>
        <w:t>;</w:t>
      </w:r>
      <w:r>
        <w:rPr>
          <w:rFonts w:ascii="Palatino Linotype" w:hAnsi="Palatino Linotype" w:cs="Arial"/>
          <w:sz w:val="24"/>
          <w:szCs w:val="24"/>
        </w:rPr>
        <w:t xml:space="preserve"> esto</w:t>
      </w:r>
      <w:r w:rsidR="009900D0">
        <w:rPr>
          <w:rFonts w:ascii="Palatino Linotype" w:hAnsi="Palatino Linotype" w:cs="Arial"/>
          <w:sz w:val="24"/>
          <w:szCs w:val="24"/>
        </w:rPr>
        <w:t>,</w:t>
      </w:r>
      <w:r>
        <w:rPr>
          <w:rFonts w:ascii="Palatino Linotype" w:hAnsi="Palatino Linotype" w:cs="Arial"/>
          <w:sz w:val="24"/>
          <w:szCs w:val="24"/>
        </w:rPr>
        <w:t xml:space="preserve"> con la finali</w:t>
      </w:r>
      <w:r w:rsidR="00C05977">
        <w:rPr>
          <w:rFonts w:ascii="Palatino Linotype" w:hAnsi="Palatino Linotype" w:cs="Arial"/>
          <w:sz w:val="24"/>
          <w:szCs w:val="24"/>
        </w:rPr>
        <w:t>dad de dar certeza jurídica al</w:t>
      </w:r>
      <w:r>
        <w:rPr>
          <w:rFonts w:ascii="Palatino Linotype" w:hAnsi="Palatino Linotype" w:cs="Arial"/>
          <w:sz w:val="24"/>
          <w:szCs w:val="24"/>
        </w:rPr>
        <w:t xml:space="preserve"> hoy </w:t>
      </w:r>
      <w:r>
        <w:rPr>
          <w:rFonts w:ascii="Palatino Linotype" w:hAnsi="Palatino Linotype" w:cs="Arial"/>
          <w:b/>
          <w:sz w:val="24"/>
          <w:szCs w:val="24"/>
        </w:rPr>
        <w:t xml:space="preserve">RECURRENTE </w:t>
      </w:r>
      <w:r>
        <w:rPr>
          <w:rFonts w:ascii="Palatino Linotype" w:hAnsi="Palatino Linotype" w:cs="Arial"/>
          <w:sz w:val="24"/>
          <w:szCs w:val="24"/>
        </w:rPr>
        <w:t xml:space="preserve">respecto de la información de la que se ordena </w:t>
      </w:r>
      <w:r w:rsidR="00F245FC">
        <w:rPr>
          <w:rFonts w:ascii="Palatino Linotype" w:hAnsi="Palatino Linotype" w:cs="Arial"/>
          <w:sz w:val="24"/>
          <w:szCs w:val="24"/>
        </w:rPr>
        <w:t xml:space="preserve">la </w:t>
      </w:r>
      <w:r>
        <w:rPr>
          <w:rFonts w:ascii="Palatino Linotype" w:hAnsi="Palatino Linotype" w:cs="Arial"/>
          <w:sz w:val="24"/>
          <w:szCs w:val="24"/>
        </w:rPr>
        <w:t>ent</w:t>
      </w:r>
      <w:bookmarkStart w:id="0" w:name="_GoBack"/>
      <w:bookmarkEnd w:id="0"/>
      <w:r>
        <w:rPr>
          <w:rFonts w:ascii="Palatino Linotype" w:hAnsi="Palatino Linotype" w:cs="Arial"/>
          <w:sz w:val="24"/>
          <w:szCs w:val="24"/>
        </w:rPr>
        <w:t>rega, en términos del artículo 9</w:t>
      </w:r>
      <w:r w:rsidR="009900D0">
        <w:rPr>
          <w:rFonts w:ascii="Palatino Linotype" w:hAnsi="Palatino Linotype" w:cs="Arial"/>
          <w:sz w:val="24"/>
          <w:szCs w:val="24"/>
        </w:rPr>
        <w:t>,</w:t>
      </w:r>
      <w:r>
        <w:rPr>
          <w:rFonts w:ascii="Palatino Linotype" w:hAnsi="Palatino Linotype" w:cs="Arial"/>
          <w:sz w:val="24"/>
          <w:szCs w:val="24"/>
        </w:rPr>
        <w:t xml:space="preserve"> fracción I de la Ley de Transparencia y Acceso a la Información Pública del Estado de México y Municipios.</w:t>
      </w:r>
    </w:p>
    <w:p w:rsidR="00F245FC" w:rsidRPr="00446AAF" w:rsidRDefault="00F245FC" w:rsidP="00C05977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6D7A0A" w:rsidRPr="009F71D8" w:rsidTr="00BB194C">
        <w:trPr>
          <w:jc w:val="center"/>
        </w:trPr>
        <w:tc>
          <w:tcPr>
            <w:tcW w:w="4393" w:type="dxa"/>
          </w:tcPr>
          <w:p w:rsidR="00770A4C" w:rsidRDefault="00770A4C" w:rsidP="00C05977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9900D0" w:rsidRDefault="009900D0" w:rsidP="00C05977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9900D0" w:rsidRDefault="009900D0" w:rsidP="00C05977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9900D0" w:rsidRDefault="009900D0" w:rsidP="00C05977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9900D0" w:rsidRDefault="009900D0" w:rsidP="00C05977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770A4C" w:rsidRPr="00770A4C" w:rsidRDefault="00770A4C" w:rsidP="00C05977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8"/>
                <w:szCs w:val="24"/>
              </w:rPr>
            </w:pPr>
          </w:p>
          <w:p w:rsidR="006D7A0A" w:rsidRPr="009F71D8" w:rsidRDefault="006D7A0A" w:rsidP="00C05977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EVA ABAID YAPUR</w:t>
            </w:r>
          </w:p>
          <w:p w:rsidR="006D7A0A" w:rsidRDefault="006D7A0A" w:rsidP="00A65F1E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COMISIONADA</w:t>
            </w:r>
          </w:p>
          <w:p w:rsidR="00C72C85" w:rsidRPr="009F71D8" w:rsidRDefault="00C72C85" w:rsidP="00A65F1E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D21AFF"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770A4C" w:rsidRDefault="00770A4C" w:rsidP="00C05977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18"/>
        </w:rPr>
      </w:pPr>
    </w:p>
    <w:p w:rsidR="00A65F1E" w:rsidRDefault="00A65F1E" w:rsidP="00C05977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18"/>
        </w:rPr>
      </w:pPr>
    </w:p>
    <w:p w:rsidR="006D7A0A" w:rsidRDefault="006D7A0A" w:rsidP="00C05977">
      <w:pPr>
        <w:widowControl w:val="0"/>
        <w:spacing w:after="0" w:line="240" w:lineRule="auto"/>
        <w:ind w:right="51"/>
        <w:jc w:val="both"/>
        <w:rPr>
          <w:rFonts w:ascii="Palatino Linotype" w:hAnsi="Palatino Linotype" w:cs="Arial"/>
          <w:bCs/>
          <w:sz w:val="20"/>
          <w:szCs w:val="18"/>
        </w:rPr>
      </w:pPr>
      <w:r w:rsidRPr="00C05977">
        <w:rPr>
          <w:rFonts w:ascii="Palatino Linotype" w:eastAsia="Calibri" w:hAnsi="Palatino Linotype" w:cs="Arial"/>
          <w:color w:val="000000" w:themeColor="text1"/>
          <w:sz w:val="20"/>
          <w:szCs w:val="18"/>
        </w:rPr>
        <w:t xml:space="preserve">Esta hoja corresponde al voto particular emitido en </w:t>
      </w:r>
      <w:r w:rsidR="00446AAF" w:rsidRPr="00C05977">
        <w:rPr>
          <w:rFonts w:ascii="Palatino Linotype" w:eastAsia="Calibri" w:hAnsi="Palatino Linotype" w:cs="Arial"/>
          <w:color w:val="000000" w:themeColor="text1"/>
          <w:sz w:val="20"/>
          <w:szCs w:val="18"/>
        </w:rPr>
        <w:t>la resolución d</w:t>
      </w:r>
      <w:r w:rsidRPr="00C05977">
        <w:rPr>
          <w:rFonts w:ascii="Palatino Linotype" w:eastAsia="Calibri" w:hAnsi="Palatino Linotype" w:cs="Arial"/>
          <w:color w:val="000000" w:themeColor="text1"/>
          <w:sz w:val="20"/>
          <w:szCs w:val="18"/>
        </w:rPr>
        <w:t xml:space="preserve">el recurso de revisión </w:t>
      </w:r>
      <w:r w:rsidR="00C05977" w:rsidRPr="00C05977">
        <w:rPr>
          <w:rFonts w:ascii="Palatino Linotype" w:hAnsi="Palatino Linotype" w:cs="Arial"/>
          <w:bCs/>
          <w:sz w:val="20"/>
          <w:szCs w:val="18"/>
        </w:rPr>
        <w:t>02580</w:t>
      </w:r>
      <w:r w:rsidRPr="00C05977">
        <w:rPr>
          <w:rFonts w:ascii="Palatino Linotype" w:hAnsi="Palatino Linotype" w:cs="Arial"/>
          <w:bCs/>
          <w:sz w:val="20"/>
          <w:szCs w:val="18"/>
        </w:rPr>
        <w:t>/INFOEM/IP/RR/2018</w:t>
      </w:r>
      <w:r w:rsidRPr="00C05977">
        <w:rPr>
          <w:rFonts w:ascii="Palatino Linotype" w:hAnsi="Palatino Linotype" w:cs="Arial"/>
          <w:b/>
          <w:bCs/>
          <w:sz w:val="20"/>
          <w:szCs w:val="18"/>
        </w:rPr>
        <w:t xml:space="preserve"> </w:t>
      </w:r>
      <w:r w:rsidR="00F245FC" w:rsidRPr="00C05977">
        <w:rPr>
          <w:rFonts w:ascii="Palatino Linotype" w:hAnsi="Palatino Linotype" w:cs="Arial"/>
          <w:bCs/>
          <w:sz w:val="20"/>
          <w:szCs w:val="18"/>
        </w:rPr>
        <w:t>aprobada</w:t>
      </w:r>
      <w:r w:rsidR="00C05977">
        <w:rPr>
          <w:rFonts w:ascii="Palatino Linotype" w:hAnsi="Palatino Linotype" w:cs="Arial"/>
          <w:bCs/>
          <w:sz w:val="20"/>
          <w:szCs w:val="18"/>
        </w:rPr>
        <w:t xml:space="preserve"> el </w:t>
      </w:r>
      <w:r w:rsidR="00446AAF" w:rsidRPr="00C05977">
        <w:rPr>
          <w:rFonts w:ascii="Palatino Linotype" w:hAnsi="Palatino Linotype" w:cs="Arial"/>
          <w:bCs/>
          <w:sz w:val="20"/>
          <w:szCs w:val="18"/>
        </w:rPr>
        <w:t>cinco</w:t>
      </w:r>
      <w:r w:rsidRPr="00C05977">
        <w:rPr>
          <w:rFonts w:ascii="Palatino Linotype" w:hAnsi="Palatino Linotype" w:cs="Arial"/>
          <w:bCs/>
          <w:sz w:val="20"/>
          <w:szCs w:val="18"/>
        </w:rPr>
        <w:t xml:space="preserve"> de </w:t>
      </w:r>
      <w:r w:rsidR="00C05977">
        <w:rPr>
          <w:rFonts w:ascii="Palatino Linotype" w:hAnsi="Palatino Linotype" w:cs="Arial"/>
          <w:bCs/>
          <w:sz w:val="20"/>
          <w:szCs w:val="18"/>
        </w:rPr>
        <w:t xml:space="preserve">septiembre </w:t>
      </w:r>
      <w:r w:rsidRPr="00C05977">
        <w:rPr>
          <w:rFonts w:ascii="Palatino Linotype" w:hAnsi="Palatino Linotype" w:cs="Arial"/>
          <w:bCs/>
          <w:sz w:val="20"/>
          <w:szCs w:val="18"/>
        </w:rPr>
        <w:t>de dos mil dieciocho.</w:t>
      </w:r>
    </w:p>
    <w:p w:rsidR="00770A4C" w:rsidRPr="00770A4C" w:rsidRDefault="00770A4C" w:rsidP="00C05977">
      <w:pPr>
        <w:widowControl w:val="0"/>
        <w:spacing w:after="0" w:line="240" w:lineRule="auto"/>
        <w:ind w:right="51"/>
        <w:jc w:val="both"/>
        <w:rPr>
          <w:rFonts w:ascii="Palatino Linotype" w:hAnsi="Palatino Linotype" w:cs="Arial"/>
          <w:sz w:val="4"/>
          <w:szCs w:val="18"/>
        </w:rPr>
      </w:pPr>
    </w:p>
    <w:p w:rsidR="00C23B43" w:rsidRDefault="00C05977" w:rsidP="00C05977">
      <w:pPr>
        <w:spacing w:after="0" w:line="240" w:lineRule="auto"/>
        <w:ind w:right="51"/>
        <w:jc w:val="both"/>
      </w:pPr>
      <w:r w:rsidRPr="00C05977">
        <w:rPr>
          <w:rFonts w:ascii="Palatino Linotype" w:eastAsia="Calibri" w:hAnsi="Palatino Linotype" w:cs="Arial"/>
          <w:color w:val="000000" w:themeColor="text1"/>
          <w:sz w:val="20"/>
          <w:szCs w:val="18"/>
        </w:rPr>
        <w:t>YSM/IAHA</w:t>
      </w:r>
    </w:p>
    <w:sectPr w:rsidR="00C23B43" w:rsidSect="005A28C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F2C" w:rsidRDefault="00B24F2C" w:rsidP="006D7A0A">
      <w:pPr>
        <w:spacing w:after="0" w:line="240" w:lineRule="auto"/>
      </w:pPr>
      <w:r>
        <w:separator/>
      </w:r>
    </w:p>
  </w:endnote>
  <w:endnote w:type="continuationSeparator" w:id="0">
    <w:p w:rsidR="00B24F2C" w:rsidRDefault="00B24F2C" w:rsidP="006D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9B3DAD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9B3DAD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9B3DAD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9B3DAD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5C5315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9B3DAD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9B3DAD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9B3DAD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F2C" w:rsidRDefault="00B24F2C" w:rsidP="006D7A0A">
      <w:pPr>
        <w:spacing w:after="0" w:line="240" w:lineRule="auto"/>
      </w:pPr>
      <w:r>
        <w:separator/>
      </w:r>
    </w:p>
  </w:footnote>
  <w:footnote w:type="continuationSeparator" w:id="0">
    <w:p w:rsidR="00B24F2C" w:rsidRDefault="00B24F2C" w:rsidP="006D7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9B3DA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5315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31FB2E3C" wp14:editId="0C2974B0">
          <wp:simplePos x="0" y="0"/>
          <wp:positionH relativeFrom="column">
            <wp:posOffset>-632460</wp:posOffset>
          </wp:positionH>
          <wp:positionV relativeFrom="paragraph">
            <wp:posOffset>-354965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894E9C" w:rsidRDefault="009B3DAD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894E9C" w:rsidRDefault="009B3DAD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5C5315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A91250" w:rsidRDefault="005C5315" w:rsidP="00894E9C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ab/>
    </w:r>
    <w:r w:rsidRPr="00706042">
      <w:rPr>
        <w:rFonts w:ascii="Palatino Linotype" w:hAnsi="Palatino Linotype" w:cs="Arial"/>
        <w:sz w:val="20"/>
        <w:szCs w:val="20"/>
      </w:rPr>
      <w:t>RECURSO DE REVISIÓN</w:t>
    </w:r>
    <w:r>
      <w:rPr>
        <w:rFonts w:ascii="Palatino Linotype" w:hAnsi="Palatino Linotype" w:cs="Arial"/>
        <w:sz w:val="20"/>
        <w:szCs w:val="20"/>
      </w:rPr>
      <w:t xml:space="preserve"> </w:t>
    </w:r>
    <w:r w:rsidRPr="00A91250">
      <w:rPr>
        <w:rFonts w:ascii="Palatino Linotype" w:hAnsi="Palatino Linotype" w:cs="Arial"/>
        <w:sz w:val="20"/>
        <w:szCs w:val="20"/>
      </w:rPr>
      <w:t>0</w:t>
    </w:r>
    <w:r w:rsidR="00E31FBC">
      <w:rPr>
        <w:rFonts w:ascii="Palatino Linotype" w:hAnsi="Palatino Linotype" w:cs="Arial"/>
        <w:sz w:val="20"/>
        <w:szCs w:val="20"/>
      </w:rPr>
      <w:t>2580</w:t>
    </w:r>
    <w:r w:rsidRPr="00A91250">
      <w:rPr>
        <w:rFonts w:ascii="Palatino Linotype" w:hAnsi="Palatino Linotype" w:cs="Arial"/>
        <w:sz w:val="20"/>
        <w:szCs w:val="20"/>
      </w:rPr>
      <w:t>/INFOEM/IP/RR/201</w:t>
    </w:r>
    <w:r>
      <w:rPr>
        <w:rFonts w:ascii="Palatino Linotype" w:hAnsi="Palatino Linotype" w:cs="Arial"/>
        <w:sz w:val="20"/>
        <w:szCs w:val="20"/>
      </w:rPr>
      <w:t>8</w:t>
    </w:r>
  </w:p>
  <w:p w:rsidR="00D406EF" w:rsidRDefault="009B3DAD" w:rsidP="005A28C0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0;margin-top:0;width:614.65pt;height:67.0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9B3DA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3762A"/>
    <w:multiLevelType w:val="hybridMultilevel"/>
    <w:tmpl w:val="A8CACF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E2C6A"/>
    <w:multiLevelType w:val="hybridMultilevel"/>
    <w:tmpl w:val="BE1A73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0A"/>
    <w:rsid w:val="00050332"/>
    <w:rsid w:val="000912B3"/>
    <w:rsid w:val="00172048"/>
    <w:rsid w:val="001A6416"/>
    <w:rsid w:val="00301935"/>
    <w:rsid w:val="00446AAF"/>
    <w:rsid w:val="004C6AC3"/>
    <w:rsid w:val="005C5315"/>
    <w:rsid w:val="005D0910"/>
    <w:rsid w:val="00607A55"/>
    <w:rsid w:val="006D7A0A"/>
    <w:rsid w:val="00770A4C"/>
    <w:rsid w:val="008A12FA"/>
    <w:rsid w:val="009900D0"/>
    <w:rsid w:val="009B3DAD"/>
    <w:rsid w:val="009C4C1B"/>
    <w:rsid w:val="009C6682"/>
    <w:rsid w:val="00A65F1E"/>
    <w:rsid w:val="00A94801"/>
    <w:rsid w:val="00AD2123"/>
    <w:rsid w:val="00B24F2C"/>
    <w:rsid w:val="00BB2792"/>
    <w:rsid w:val="00C05977"/>
    <w:rsid w:val="00C15AB9"/>
    <w:rsid w:val="00C23B43"/>
    <w:rsid w:val="00C66271"/>
    <w:rsid w:val="00C72C85"/>
    <w:rsid w:val="00C805BB"/>
    <w:rsid w:val="00C9714C"/>
    <w:rsid w:val="00D94C24"/>
    <w:rsid w:val="00DC0582"/>
    <w:rsid w:val="00DD2CC8"/>
    <w:rsid w:val="00E31FBC"/>
    <w:rsid w:val="00E7301B"/>
    <w:rsid w:val="00F245FC"/>
    <w:rsid w:val="00F25FD2"/>
    <w:rsid w:val="00F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0ABDC61-A01F-4F9D-9CD3-949C8760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A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7A0A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D7A0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D7A0A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7A0A"/>
    <w:rPr>
      <w:rFonts w:eastAsiaTheme="minorEastAsia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6D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6D7A0A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6D7A0A"/>
  </w:style>
  <w:style w:type="paragraph" w:styleId="Textodeglobo">
    <w:name w:val="Balloon Text"/>
    <w:basedOn w:val="Normal"/>
    <w:link w:val="TextodegloboCar"/>
    <w:uiPriority w:val="99"/>
    <w:semiHidden/>
    <w:unhideWhenUsed/>
    <w:rsid w:val="0044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562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9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00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1275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9</cp:revision>
  <cp:lastPrinted>2018-04-27T01:40:00Z</cp:lastPrinted>
  <dcterms:created xsi:type="dcterms:W3CDTF">2018-09-07T18:48:00Z</dcterms:created>
  <dcterms:modified xsi:type="dcterms:W3CDTF">2018-10-18T18:22:00Z</dcterms:modified>
</cp:coreProperties>
</file>